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C6" w:rsidRPr="00EB0723" w:rsidRDefault="009E6CC6" w:rsidP="009E6CC6">
      <w:pPr>
        <w:pStyle w:val="30"/>
        <w:shd w:val="clear" w:color="auto" w:fill="auto"/>
        <w:spacing w:after="233" w:line="240" w:lineRule="exact"/>
        <w:ind w:left="180"/>
        <w:jc w:val="center"/>
        <w:rPr>
          <w:sz w:val="28"/>
          <w:szCs w:val="28"/>
        </w:rPr>
      </w:pPr>
      <w:r w:rsidRPr="00EB0723">
        <w:rPr>
          <w:color w:val="000000"/>
          <w:sz w:val="28"/>
          <w:szCs w:val="28"/>
          <w:lang w:bidi="ru-RU"/>
        </w:rPr>
        <w:t xml:space="preserve">Антикоррупционная политика </w:t>
      </w:r>
      <w:r w:rsidRPr="00EB0723">
        <w:rPr>
          <w:sz w:val="28"/>
          <w:szCs w:val="28"/>
        </w:rPr>
        <w:t>отдела образования                        администрации МР «</w:t>
      </w:r>
      <w:proofErr w:type="spellStart"/>
      <w:r w:rsidRPr="00EB0723">
        <w:rPr>
          <w:sz w:val="28"/>
          <w:szCs w:val="28"/>
        </w:rPr>
        <w:t>Каякентский</w:t>
      </w:r>
      <w:proofErr w:type="spellEnd"/>
      <w:r w:rsidRPr="00EB0723">
        <w:rPr>
          <w:sz w:val="28"/>
          <w:szCs w:val="28"/>
        </w:rPr>
        <w:t xml:space="preserve"> район»</w:t>
      </w:r>
    </w:p>
    <w:p w:rsidR="009E6CC6" w:rsidRPr="00EB0723" w:rsidRDefault="009E6CC6" w:rsidP="009E6CC6">
      <w:pPr>
        <w:widowControl w:val="0"/>
        <w:numPr>
          <w:ilvl w:val="0"/>
          <w:numId w:val="1"/>
        </w:numPr>
        <w:tabs>
          <w:tab w:val="left" w:pos="4021"/>
        </w:tabs>
        <w:spacing w:after="206" w:line="240" w:lineRule="exact"/>
        <w:ind w:left="36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Общие положения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26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Настоящая антикоррупционная политика (далее - политика) разработана в соответствии с законодательством Российской Федерации и Республики Дагестан о противодействии и предупреждении коррупции, и является базовым документом организации «Наименование» (далее - учреждение), представляющем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учреждения, а также соблюдение норм антикоррупционного законодательства работниками учреждения.</w:t>
      </w:r>
      <w:proofErr w:type="gramEnd"/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26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Сведения о проводимых в учреждении мероприятиях антикоррупционной направленности, реализуемых в рамках настоящей антикоррупционной политики, закреплены в Плане мероприятий по предупреждению коррупции (Приложение 1).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26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выявлении необходимости внедрения в работу учреждения иных, наиболее эффективных положений настоящей политики или связанных с ней антикоррупционных мероприятий, либо при изменении требований законодательства учреждение осуществляет работу по пересмотру и изменению настоящей политики или антикоррупционных мероприятий.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787"/>
        </w:tabs>
        <w:spacing w:after="0" w:line="55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Правовую основу антикоррупционной политики учреждения составляют:</w:t>
      </w:r>
    </w:p>
    <w:p w:rsidR="009E6CC6" w:rsidRPr="00EB0723" w:rsidRDefault="009E6CC6" w:rsidP="009E6CC6">
      <w:pPr>
        <w:widowControl w:val="0"/>
        <w:numPr>
          <w:ilvl w:val="0"/>
          <w:numId w:val="2"/>
        </w:numPr>
        <w:tabs>
          <w:tab w:val="left" w:pos="1447"/>
        </w:tabs>
        <w:spacing w:after="0" w:line="552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0"/>
          <w:rFonts w:eastAsiaTheme="minorEastAsia"/>
          <w:sz w:val="28"/>
          <w:szCs w:val="28"/>
        </w:rPr>
        <w:t>Конституция Российской Федерации;</w:t>
      </w:r>
    </w:p>
    <w:p w:rsidR="009E6CC6" w:rsidRPr="00EB0723" w:rsidRDefault="009E6CC6" w:rsidP="009E6CC6">
      <w:pPr>
        <w:widowControl w:val="0"/>
        <w:numPr>
          <w:ilvl w:val="0"/>
          <w:numId w:val="2"/>
        </w:numPr>
        <w:tabs>
          <w:tab w:val="left" w:pos="537"/>
        </w:tabs>
        <w:spacing w:after="0" w:line="552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0"/>
          <w:rFonts w:eastAsiaTheme="minorEastAsia"/>
          <w:sz w:val="28"/>
          <w:szCs w:val="28"/>
        </w:rPr>
        <w:t>Федеральный закон от 25.12.2008 г . № 273-ФЗ «О противодействии коррупции»;</w:t>
      </w:r>
    </w:p>
    <w:p w:rsidR="009E6CC6" w:rsidRPr="00EB0723" w:rsidRDefault="009E6CC6" w:rsidP="009E6CC6">
      <w:pPr>
        <w:widowControl w:val="0"/>
        <w:numPr>
          <w:ilvl w:val="0"/>
          <w:numId w:val="2"/>
        </w:numPr>
        <w:tabs>
          <w:tab w:val="left" w:pos="537"/>
        </w:tabs>
        <w:spacing w:after="0" w:line="274" w:lineRule="exact"/>
        <w:ind w:left="540" w:hanging="360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0"/>
          <w:rFonts w:eastAsiaTheme="minorEastAsia"/>
          <w:sz w:val="28"/>
          <w:szCs w:val="28"/>
        </w:rPr>
        <w:t>Указ Президента Российской Федерации от 08.07.2013 г. № 613 «Вопросы противодействия коррупции»;</w:t>
      </w:r>
    </w:p>
    <w:p w:rsidR="009E6CC6" w:rsidRPr="00EB0723" w:rsidRDefault="009E6CC6" w:rsidP="009E6CC6">
      <w:pPr>
        <w:widowControl w:val="0"/>
        <w:numPr>
          <w:ilvl w:val="0"/>
          <w:numId w:val="2"/>
        </w:numPr>
        <w:tabs>
          <w:tab w:val="left" w:pos="537"/>
        </w:tabs>
        <w:spacing w:after="0" w:line="274" w:lineRule="exact"/>
        <w:ind w:left="540" w:hanging="360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0"/>
          <w:rFonts w:eastAsiaTheme="minorEastAsia"/>
          <w:sz w:val="28"/>
          <w:szCs w:val="28"/>
        </w:rPr>
        <w:t>Указ Президента Российской Федерации от 19.05.2008 года № 815 «О мерах по противодействию коррупции»;</w:t>
      </w:r>
    </w:p>
    <w:p w:rsidR="009E6CC6" w:rsidRPr="00EB0723" w:rsidRDefault="009E6CC6" w:rsidP="009E6CC6">
      <w:pPr>
        <w:widowControl w:val="0"/>
        <w:numPr>
          <w:ilvl w:val="0"/>
          <w:numId w:val="2"/>
        </w:numPr>
        <w:tabs>
          <w:tab w:val="left" w:pos="537"/>
        </w:tabs>
        <w:spacing w:after="0" w:line="274" w:lineRule="exact"/>
        <w:ind w:left="540" w:hanging="360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 Республики Дагестан от 7 апреля 2009 года №21 « О противодействии коррупции в Республике Дагестан».</w:t>
      </w:r>
    </w:p>
    <w:p w:rsidR="00EB0723" w:rsidRPr="00EB0723" w:rsidRDefault="00EB0723" w:rsidP="009E6CC6">
      <w:pPr>
        <w:keepNext/>
        <w:keepLines/>
        <w:widowControl w:val="0"/>
        <w:numPr>
          <w:ilvl w:val="0"/>
          <w:numId w:val="2"/>
        </w:numPr>
        <w:tabs>
          <w:tab w:val="left" w:pos="537"/>
        </w:tabs>
        <w:spacing w:after="427" w:line="260" w:lineRule="exact"/>
        <w:ind w:left="180"/>
        <w:jc w:val="both"/>
        <w:rPr>
          <w:rStyle w:val="20"/>
          <w:rFonts w:eastAsiaTheme="minorEastAsia"/>
          <w:color w:val="auto"/>
          <w:sz w:val="28"/>
          <w:szCs w:val="28"/>
          <w:lang w:bidi="ar-SA"/>
        </w:rPr>
      </w:pPr>
      <w:r w:rsidRPr="00EB0723">
        <w:rPr>
          <w:rStyle w:val="20"/>
          <w:rFonts w:eastAsiaTheme="minorEastAsia"/>
          <w:sz w:val="28"/>
          <w:szCs w:val="28"/>
        </w:rPr>
        <w:t>У</w:t>
      </w:r>
      <w:r w:rsidR="009E6CC6" w:rsidRPr="00EB0723">
        <w:rPr>
          <w:rStyle w:val="20"/>
          <w:rFonts w:eastAsiaTheme="minorEastAsia"/>
          <w:sz w:val="28"/>
          <w:szCs w:val="28"/>
        </w:rPr>
        <w:t>став Учреждения;</w:t>
      </w:r>
      <w:bookmarkStart w:id="0" w:name="bookmark0"/>
    </w:p>
    <w:p w:rsidR="009E6CC6" w:rsidRPr="00EB0723" w:rsidRDefault="009E6CC6" w:rsidP="00EB0723">
      <w:pPr>
        <w:keepNext/>
        <w:keepLines/>
        <w:widowControl w:val="0"/>
        <w:tabs>
          <w:tab w:val="left" w:pos="537"/>
        </w:tabs>
        <w:spacing w:after="427" w:line="260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10"/>
          <w:rFonts w:eastAsiaTheme="minorEastAsia"/>
          <w:b w:val="0"/>
          <w:bCs w:val="0"/>
          <w:sz w:val="28"/>
          <w:szCs w:val="28"/>
        </w:rPr>
        <w:t xml:space="preserve">1.5. основные </w:t>
      </w:r>
      <w:r w:rsidRPr="00EB0723">
        <w:rPr>
          <w:rStyle w:val="11"/>
          <w:rFonts w:eastAsiaTheme="minorEastAsia"/>
          <w:b w:val="0"/>
          <w:bCs w:val="0"/>
          <w:sz w:val="28"/>
          <w:szCs w:val="28"/>
        </w:rPr>
        <w:t xml:space="preserve">понятия </w:t>
      </w:r>
      <w:r w:rsidRPr="00EB0723">
        <w:rPr>
          <w:rStyle w:val="10"/>
          <w:rFonts w:eastAsiaTheme="minorEastAsia"/>
          <w:b w:val="0"/>
          <w:bCs w:val="0"/>
          <w:sz w:val="28"/>
          <w:szCs w:val="28"/>
        </w:rPr>
        <w:t xml:space="preserve">и </w:t>
      </w:r>
      <w:r w:rsidRPr="00EB0723">
        <w:rPr>
          <w:rStyle w:val="11"/>
          <w:rFonts w:eastAsiaTheme="minorEastAsia"/>
          <w:b w:val="0"/>
          <w:bCs w:val="0"/>
          <w:sz w:val="28"/>
          <w:szCs w:val="28"/>
        </w:rPr>
        <w:t>определения</w:t>
      </w:r>
      <w:r w:rsidRPr="00EB0723">
        <w:rPr>
          <w:rStyle w:val="10"/>
          <w:rFonts w:eastAsiaTheme="minorEastAsia"/>
          <w:b w:val="0"/>
          <w:bCs w:val="0"/>
          <w:sz w:val="28"/>
          <w:szCs w:val="28"/>
        </w:rPr>
        <w:t>:</w:t>
      </w:r>
      <w:bookmarkEnd w:id="0"/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207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основные понятия и определения: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18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723">
        <w:rPr>
          <w:rStyle w:val="21"/>
          <w:rFonts w:eastAsiaTheme="minorEastAsia"/>
          <w:sz w:val="28"/>
          <w:szCs w:val="28"/>
        </w:rPr>
        <w:t>Коррупция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Коррупцией также является совершение 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перечисленных деяний от имени или в интересах юридического лица (пункт 1 статьи 1 Федерального закона от 25 декабря 2008 г. N 273-ФЗ "О противодействии коррупции");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1136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>Противодействие коррупции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N 273-ФЗ "О противодействии коррупции"):</w:t>
      </w:r>
    </w:p>
    <w:p w:rsidR="009E6CC6" w:rsidRPr="00EB0723" w:rsidRDefault="009E6CC6" w:rsidP="009E6CC6">
      <w:pPr>
        <w:tabs>
          <w:tab w:val="left" w:pos="1023"/>
        </w:tabs>
        <w:spacing w:after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а)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E6CC6" w:rsidRPr="00EB0723" w:rsidRDefault="009E6CC6" w:rsidP="009E6CC6">
      <w:pPr>
        <w:tabs>
          <w:tab w:val="left" w:pos="1084"/>
        </w:tabs>
        <w:spacing w:after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б)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9E6CC6" w:rsidRPr="00EB0723" w:rsidRDefault="009E6CC6" w:rsidP="009E6CC6">
      <w:pPr>
        <w:tabs>
          <w:tab w:val="left" w:pos="1181"/>
        </w:tabs>
        <w:spacing w:after="0" w:line="274" w:lineRule="exact"/>
        <w:ind w:firstLine="740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в)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по минимизации и (или) ликвидации последствий коррупционных правонарушений.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2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723">
        <w:rPr>
          <w:rStyle w:val="21"/>
          <w:rFonts w:eastAsiaTheme="minorEastAsia"/>
          <w:sz w:val="28"/>
          <w:szCs w:val="28"/>
        </w:rPr>
        <w:t>Взятка -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2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723">
        <w:rPr>
          <w:rStyle w:val="21"/>
          <w:rFonts w:eastAsiaTheme="minorEastAsia"/>
          <w:sz w:val="28"/>
          <w:szCs w:val="28"/>
        </w:rPr>
        <w:t>Конфликт интересов -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(представителем организации) которой он является;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1084"/>
        </w:tabs>
        <w:spacing w:after="267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>Личная заинтересованность работника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E6CC6" w:rsidRPr="00EB0723" w:rsidRDefault="009E6CC6" w:rsidP="009E6CC6">
      <w:pPr>
        <w:widowControl w:val="0"/>
        <w:numPr>
          <w:ilvl w:val="0"/>
          <w:numId w:val="1"/>
        </w:numPr>
        <w:tabs>
          <w:tab w:val="left" w:pos="2318"/>
        </w:tabs>
        <w:spacing w:after="256" w:line="240" w:lineRule="exact"/>
        <w:ind w:left="202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Цели и задачи антикоррупционной политики учреждения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216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Основными целями антикоррупционной политики учреждения являются: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4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предупреждение коррупции в Учреждении;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4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ответственности за коррупционные проявления;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4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антикоррупционного сознания у работников.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181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Достижение целей политики в учреждении осуществляется путем реализации следующих задач: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08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 работников единообразного понимания позиции Учреждения о неприятии коррупции в любых формах и проявлениях;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18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минимизация риска вовлечения работников Учреждения в коррупционную деятельность;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4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мониторинг эффективности мер антикоррупционной политики;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08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установление обязанности работников Учреждения знать и соблюдать требования настоящей политики, ключевые нормы антикоррупционного законодательства;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08"/>
        </w:tabs>
        <w:spacing w:after="267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ответственности за коррупционные правонарушения во всех случаях, прямо предусмотренных нормативными правовыми актами.</w:t>
      </w:r>
    </w:p>
    <w:p w:rsidR="009E6CC6" w:rsidRPr="00EB0723" w:rsidRDefault="009E6CC6" w:rsidP="009E6CC6">
      <w:pPr>
        <w:widowControl w:val="0"/>
        <w:numPr>
          <w:ilvl w:val="0"/>
          <w:numId w:val="1"/>
        </w:numPr>
        <w:tabs>
          <w:tab w:val="left" w:pos="2318"/>
        </w:tabs>
        <w:spacing w:after="257" w:line="240" w:lineRule="exact"/>
        <w:ind w:left="202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Основные принципы антикоррупционной политики</w:t>
      </w:r>
    </w:p>
    <w:p w:rsidR="009E6CC6" w:rsidRPr="00EB0723" w:rsidRDefault="009E6CC6" w:rsidP="009E6CC6">
      <w:pPr>
        <w:pStyle w:val="40"/>
        <w:numPr>
          <w:ilvl w:val="1"/>
          <w:numId w:val="1"/>
        </w:numPr>
        <w:shd w:val="clear" w:color="auto" w:fill="auto"/>
        <w:tabs>
          <w:tab w:val="left" w:pos="1464"/>
        </w:tabs>
        <w:spacing w:before="0"/>
        <w:rPr>
          <w:sz w:val="28"/>
          <w:szCs w:val="28"/>
        </w:rPr>
      </w:pPr>
      <w:r w:rsidRPr="00EB0723">
        <w:rPr>
          <w:color w:val="000000"/>
          <w:sz w:val="28"/>
          <w:szCs w:val="28"/>
          <w:lang w:bidi="ru-RU"/>
        </w:rPr>
        <w:t>Принцип соответствия политики действующему законодательству и общепринятым нормам.</w:t>
      </w:r>
      <w:r w:rsidRPr="00EB0723">
        <w:rPr>
          <w:rStyle w:val="41"/>
          <w:sz w:val="28"/>
          <w:szCs w:val="28"/>
        </w:rPr>
        <w:t xml:space="preserve"> </w:t>
      </w:r>
      <w:proofErr w:type="gramStart"/>
      <w:r w:rsidRPr="00EB0723">
        <w:rPr>
          <w:rStyle w:val="41"/>
          <w:sz w:val="28"/>
          <w:szCs w:val="28"/>
        </w:rPr>
        <w:t>(Настоящая антикоррупционная политика соответствует</w:t>
      </w:r>
      <w:proofErr w:type="gramEnd"/>
    </w:p>
    <w:p w:rsidR="009E6CC6" w:rsidRPr="00EB0723" w:rsidRDefault="009E6CC6" w:rsidP="009E6CC6">
      <w:pPr>
        <w:spacing w:after="0" w:line="278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Конституции Российской Федерации, законодательству Российской Федерации и иным нормативно-правовым актам, применимым к Учреждению).</w:t>
      </w:r>
      <w:proofErr w:type="gramEnd"/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30"/>
        </w:tabs>
        <w:spacing w:after="0" w:line="278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>Принцип личного примера руководства.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(Ключевая роль директора Учреждения в формировании культуры нетерпимости к коррупции и в создании антикоррупционной системы предупреждения и противодействия коррупции в Учреждении).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3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>Принцип вовлеченности работников.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(В учреждении регулярно информируют работников о положениях антикоррупционного законодательства и активно привлекают к участию в формировании и реализации антикоррупционных процедур).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3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 xml:space="preserve">Принцип соразмерности антикоррупционных процедур риску коррупции. (В 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Учреждении разработаны и выполняется комплекс мероприятий, позволяющих снизить вероятность вовлечения Учреждения, ее директора и работников в коррупционную деятельность).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3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>Принцип эффективности антикоррупционных процедур.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(Применение в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приносят значимый результат</w:t>
      </w:r>
      <w:proofErr w:type="gramEnd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.).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3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 xml:space="preserve">Принцип ответственности и неотвратимости наказания. 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директора за реализацию внутриорганизационной антикоррупционной политики).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30"/>
        </w:tabs>
        <w:spacing w:after="236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Style w:val="21"/>
          <w:rFonts w:eastAsiaTheme="minorEastAsia"/>
          <w:sz w:val="28"/>
          <w:szCs w:val="28"/>
        </w:rPr>
        <w:t>Принцип постоянного контроля и регулярного мониторинга.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(В связи с возможным изменением во времени коррупционных рисков и иных факторов, оказывающих влияние на хозяйственную деятельность, Учреждение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их).</w:t>
      </w:r>
    </w:p>
    <w:p w:rsidR="009E6CC6" w:rsidRPr="00EB0723" w:rsidRDefault="009E6CC6" w:rsidP="009E6CC6">
      <w:pPr>
        <w:widowControl w:val="0"/>
        <w:numPr>
          <w:ilvl w:val="0"/>
          <w:numId w:val="1"/>
        </w:numPr>
        <w:tabs>
          <w:tab w:val="left" w:pos="2094"/>
        </w:tabs>
        <w:spacing w:after="244" w:line="278" w:lineRule="exact"/>
        <w:ind w:left="2700" w:right="1820" w:hanging="900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Область применения Антикоррупционной политики и круг, лиц попадающих под ее действие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2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Основным кругом лиц, попадающих под действие политики, являются работники Учреждения, находящиеся с ней в трудовых </w:t>
      </w: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отношениях, вне зависимости от занимаемой должности и выполняемых функций.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270"/>
        </w:tabs>
        <w:spacing w:after="0" w:line="278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Обязанности работников организации в связи с предупреждением и противодействием коррупции:</w:t>
      </w:r>
    </w:p>
    <w:p w:rsidR="009E6CC6" w:rsidRPr="00EB0723" w:rsidRDefault="009E6CC6" w:rsidP="009E6CC6">
      <w:pPr>
        <w:widowControl w:val="0"/>
        <w:numPr>
          <w:ilvl w:val="2"/>
          <w:numId w:val="1"/>
        </w:numPr>
        <w:tabs>
          <w:tab w:val="left" w:pos="1394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Воздерживаться: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3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совершения и (или) участия в совершении коррупционных правонарушений в интересах или от имени учреждения;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3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9E6CC6" w:rsidRPr="00EB0723" w:rsidRDefault="009E6CC6" w:rsidP="009E6CC6">
      <w:pPr>
        <w:widowControl w:val="0"/>
        <w:numPr>
          <w:ilvl w:val="2"/>
          <w:numId w:val="1"/>
        </w:numPr>
        <w:tabs>
          <w:tab w:val="left" w:pos="143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отсутствия, директора учреждения: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4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случаях склонения работника к совершению коррупционных правонарушений;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93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9E6CC6" w:rsidRPr="00EB0723" w:rsidRDefault="009E6CC6" w:rsidP="009E6CC6">
      <w:pPr>
        <w:widowControl w:val="0"/>
        <w:numPr>
          <w:ilvl w:val="2"/>
          <w:numId w:val="1"/>
        </w:numPr>
        <w:tabs>
          <w:tab w:val="left" w:pos="143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Сообщать непосредственному начальнику или директору учреждения о возможности возникновения либо возникшем у работника конфликте интересов.</w:t>
      </w:r>
    </w:p>
    <w:p w:rsidR="009E6CC6" w:rsidRPr="00EB0723" w:rsidRDefault="009E6CC6" w:rsidP="009E6CC6">
      <w:pPr>
        <w:widowControl w:val="0"/>
        <w:numPr>
          <w:ilvl w:val="0"/>
          <w:numId w:val="1"/>
        </w:numPr>
        <w:tabs>
          <w:tab w:val="left" w:pos="2064"/>
        </w:tabs>
        <w:spacing w:after="146" w:line="240" w:lineRule="exact"/>
        <w:ind w:left="17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Организационные основы противодействия коррупции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239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Общее руководство мероприятиями, направленными на противодействие коррупции в Учреждении осуществляет заместитель директора.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239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Заместитель директора: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782"/>
        </w:tabs>
        <w:spacing w:after="0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разрабатывает проекты локальных актов по вопросам противодействия коррупции;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782"/>
        </w:tabs>
        <w:spacing w:after="0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 противодействие коррупции в пределах своих полномочий;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740"/>
        </w:tabs>
        <w:spacing w:after="0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принимает заявления работников Учреждения, клиентов Учреждения, законных представителей клиентов, родственников клиентов Учреждения о фактах коррупционных проявлений работниками Учреждения для последующего их направления в правоохранительные органы;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878"/>
        </w:tabs>
        <w:spacing w:after="0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 антикоррупционную пропаганду и воспитание работников Учреждения, обучающихся Учреждения, их законных представителей, родственников работников Учреждения;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782"/>
        </w:tabs>
        <w:spacing w:after="0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обеспечивает соблюдения работниками правил внутреннего трудового распорядка;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740"/>
        </w:tabs>
        <w:spacing w:after="0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подготавливает документы и материалы для привлечения работников Учреждения к дисциплинарной и материальной ответственности;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740"/>
        </w:tabs>
        <w:spacing w:after="0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взаимодействует с правоохранительными органами, с органами государственной власти, органами самоуправления, муниципальными и общественными комиссиями по вопросам противодействия коррупции, также с гражданами и институтами гражданского общества.</w:t>
      </w:r>
    </w:p>
    <w:p w:rsidR="009E6CC6" w:rsidRPr="00EB0723" w:rsidRDefault="009E6CC6" w:rsidP="009E6CC6">
      <w:pPr>
        <w:widowControl w:val="0"/>
        <w:numPr>
          <w:ilvl w:val="0"/>
          <w:numId w:val="3"/>
        </w:numPr>
        <w:tabs>
          <w:tab w:val="left" w:pos="740"/>
        </w:tabs>
        <w:spacing w:after="267" w:line="274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ведет журнал регистрации уведомлений представителя нанимателя о фактах обращения в целях склонения работников Учреждения к совершению коррупционных правонарушений, а также обращения граждан и клиентов с информацией о фактах коррупционного поведения работников Учреждения.</w:t>
      </w:r>
    </w:p>
    <w:p w:rsidR="00EB0723" w:rsidRDefault="00EB0723" w:rsidP="009E6CC6">
      <w:pPr>
        <w:spacing w:after="251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9E6CC6" w:rsidRPr="00EB0723" w:rsidRDefault="009E6CC6" w:rsidP="009E6CC6">
      <w:pPr>
        <w:spacing w:after="251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5. Меры противодействия коррупции</w:t>
      </w:r>
    </w:p>
    <w:p w:rsidR="009E6CC6" w:rsidRPr="00EB0723" w:rsidRDefault="009E6CC6" w:rsidP="009E6CC6">
      <w:pPr>
        <w:widowControl w:val="0"/>
        <w:numPr>
          <w:ilvl w:val="0"/>
          <w:numId w:val="4"/>
        </w:numPr>
        <w:tabs>
          <w:tab w:val="left" w:pos="1411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недопущения коррупционных правонарушений или проявлений коррупционной направленности в Учреждении разработан комплекс мер по противодействию коррупции, который нашел своё отражение в Плане мероприятий противодействия коррупции в Учреждении на 2017 год (далее - Порядок). Разработка и внедрение Плана направлена на снижение коррупционных рисков, обусловленных спецификой функционирования Учреждения. Основными задачами мероприятий, указанных в Плане является предупреждений коррупционных правонарушений в Учреждении путем создания условий, затрудняющих возможность коррупционного поведения, исключения, предпосылок к совершению коррупционных правонарушений в Учреждении.</w:t>
      </w:r>
    </w:p>
    <w:p w:rsidR="009E6CC6" w:rsidRPr="00EB0723" w:rsidRDefault="009E6CC6" w:rsidP="009E6CC6">
      <w:pPr>
        <w:widowControl w:val="0"/>
        <w:numPr>
          <w:ilvl w:val="0"/>
          <w:numId w:val="4"/>
        </w:numPr>
        <w:tabs>
          <w:tab w:val="left" w:pos="1411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Учреждении разработан Порядок уведомления работодателя о фактах обращения в целях склонения работника Учреждения к совершению коррупционных правонарушений или ставшей известной работнику информации о случаях совершения коррупционных правонарушений (далее - Порядок).</w:t>
      </w:r>
    </w:p>
    <w:p w:rsidR="009E6CC6" w:rsidRPr="00EB0723" w:rsidRDefault="009E6CC6" w:rsidP="009E6CC6">
      <w:pPr>
        <w:spacing w:after="0" w:line="274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 упорядочивает механизм обращения, регистрации, рассмотрении поступающих от работников уведомлений о случаях склонения работника к совершению к совершению коррупционных правонарушений. В данном локально-нормативном акте внимание уделяется механизму защиты заявителей.</w:t>
      </w:r>
    </w:p>
    <w:p w:rsidR="009E6CC6" w:rsidRPr="00EB0723" w:rsidRDefault="009E6CC6" w:rsidP="009E6CC6">
      <w:pPr>
        <w:spacing w:after="267" w:line="274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заключении трудового договора работник </w:t>
      </w:r>
      <w:proofErr w:type="spellStart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ознакамливается</w:t>
      </w:r>
      <w:proofErr w:type="spellEnd"/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 роспись с данным Порядком.</w:t>
      </w:r>
    </w:p>
    <w:p w:rsidR="009E6CC6" w:rsidRPr="00EB0723" w:rsidRDefault="009E6CC6" w:rsidP="009E6CC6">
      <w:pPr>
        <w:widowControl w:val="0"/>
        <w:numPr>
          <w:ilvl w:val="0"/>
          <w:numId w:val="1"/>
        </w:numPr>
        <w:tabs>
          <w:tab w:val="left" w:pos="3437"/>
        </w:tabs>
        <w:spacing w:after="0" w:line="240" w:lineRule="exact"/>
        <w:ind w:left="300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работников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06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Работники Учреждения, независимо от занимаемой должности, несут ответственность, предусмотренную действующим законодательством Российской Федерации за соблюдение принципов и требований настоящей Антикоррупционной политики. А также за действие (бездействие) подчиненных им лиц, нарушающих эти принципы и требования.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06"/>
        </w:tabs>
        <w:spacing w:after="267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с законодательством Российской Федерации.</w:t>
      </w:r>
    </w:p>
    <w:p w:rsidR="009E6CC6" w:rsidRPr="00EB0723" w:rsidRDefault="009E6CC6" w:rsidP="009E6CC6">
      <w:pPr>
        <w:widowControl w:val="0"/>
        <w:numPr>
          <w:ilvl w:val="0"/>
          <w:numId w:val="1"/>
        </w:numPr>
        <w:tabs>
          <w:tab w:val="left" w:pos="3842"/>
        </w:tabs>
        <w:spacing w:after="261" w:line="240" w:lineRule="exact"/>
        <w:ind w:left="342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Внесение изменений</w:t>
      </w:r>
    </w:p>
    <w:p w:rsidR="009E6CC6" w:rsidRPr="00EB0723" w:rsidRDefault="009E6CC6" w:rsidP="009E6CC6">
      <w:pPr>
        <w:widowControl w:val="0"/>
        <w:numPr>
          <w:ilvl w:val="1"/>
          <w:numId w:val="1"/>
        </w:numPr>
        <w:tabs>
          <w:tab w:val="left" w:pos="1406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B07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выявлении недостаточно эффективных положений Антикоррупционных политики Учреждения либо при изменении требований законодательства Российской Федерации Учреждение организует выработку и реализацию плана действий по актуализации Антикоррупционной политики Учреждения.</w:t>
      </w:r>
    </w:p>
    <w:p w:rsidR="007D4E77" w:rsidRPr="00EB0723" w:rsidRDefault="007D4E77">
      <w:pPr>
        <w:rPr>
          <w:rFonts w:ascii="Times New Roman" w:hAnsi="Times New Roman" w:cs="Times New Roman"/>
          <w:sz w:val="28"/>
          <w:szCs w:val="28"/>
        </w:rPr>
      </w:pPr>
    </w:p>
    <w:sectPr w:rsidR="007D4E77" w:rsidRPr="00EB0723" w:rsidSect="009E6CC6">
      <w:pgSz w:w="11900" w:h="16840"/>
      <w:pgMar w:top="1149" w:right="817" w:bottom="1315" w:left="16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38B8"/>
    <w:multiLevelType w:val="multilevel"/>
    <w:tmpl w:val="3112C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92CE1"/>
    <w:multiLevelType w:val="multilevel"/>
    <w:tmpl w:val="D2488E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6E5931"/>
    <w:multiLevelType w:val="multilevel"/>
    <w:tmpl w:val="EF0E9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1B74D6"/>
    <w:multiLevelType w:val="multilevel"/>
    <w:tmpl w:val="2D5A4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CC6"/>
    <w:rsid w:val="007D4E77"/>
    <w:rsid w:val="009E6CC6"/>
    <w:rsid w:val="00EB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E6CC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9E6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E6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rsid w:val="009E6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 + Не полужирный"/>
    <w:basedOn w:val="1"/>
    <w:rsid w:val="009E6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"/>
    <w:basedOn w:val="1"/>
    <w:rsid w:val="009E6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9E6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E6CC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9E6CC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E6CC6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9E6CC6"/>
    <w:pPr>
      <w:widowControl w:val="0"/>
      <w:shd w:val="clear" w:color="auto" w:fill="FFFFFF"/>
      <w:spacing w:before="360" w:after="0" w:line="278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1860</Words>
  <Characters>10606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Экспресс</cp:lastModifiedBy>
  <cp:revision>3</cp:revision>
  <dcterms:created xsi:type="dcterms:W3CDTF">2017-12-09T12:59:00Z</dcterms:created>
  <dcterms:modified xsi:type="dcterms:W3CDTF">2024-01-18T06:27:00Z</dcterms:modified>
</cp:coreProperties>
</file>